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6034" w14:textId="2c56034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17. Закона о заштити узбуњивача („Службени гласник РС”, број 128/14),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Министар правде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ПРАВИЛНИК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који има више од десет запослених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 xml:space="preserve">"Службени гласник РС", бр. 49 од 5. јуна 2015, </w:t>
      </w:r>
      <w:r>
        <w:rPr>
          <w:rFonts w:ascii="Verdana"/>
          <w:b w:val="false"/>
          <w:i w:val="false"/>
          <w:color w:val="000000"/>
          <w:sz w:val="22"/>
        </w:rPr>
        <w:t xml:space="preserve">44 од 8. јуна 2018 - </w:t>
      </w:r>
      <w:r>
        <w:rPr>
          <w:rFonts w:ascii="Verdana"/>
          <w:b w:val="false"/>
          <w:i w:val="false"/>
          <w:color w:val="000000"/>
          <w:sz w:val="22"/>
        </w:rPr>
        <w:t>др. закон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Овим правилником уређује се начин унутрашњег узбуњивања, начин одређивања овлашћеног лица код послодавца, као и друга питања од значаја за унутрашње узбуњивање код послодавца који има више од десет запослених.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Послодавац који има више од десет запослених (у даљем тексту: послодавац) одређује лице овлашћено за пријем информације и вођење поступка у вези са унутрашњим узбуњивањем, у складу са Законом о заштити узбуњивача (у даљем тексту: Закон).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узбуњивањем, писмено или усмено.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узбуњивањем, обичном или препорученом пошиљком, као и електронском поштом, у складу са законом, уколико постоје техничке могућности.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Усмено достављање информације у вези са унутрашњим узбуњивањем врши се усмено на записник.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се достављање информације врши непосредном предајом писмена или усмено, о информацији у вези са унутрашњим узбуњивањем саставља се потврда о пријему информације у вези са унутрашњим узбуњивањем, и то приликом пријема писмена, односно приликом узимања усмене изјаве од узбуњивача.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Уколико се достављање писмена о информацији у вези са унутрашњим узбуњивањем врши обичном или препорученом пошиљком, односно електронском поштом, издаје се потврда о пријему информације у вези са унутрашњим узбуњивањем. У том случају се као датум пријема код препоручене пошиљке наводи датум предаје пошиљке пошти, а код обичне пошиљке датум пријема пошиљке код послодавца.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је поднесак упућен електронском поштом, као време подношења послодавцу сматра се време које је назначено у потврди о пријему електронске поште, у складу са законом.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 xml:space="preserve">Потврда о пријему информације у вези са унутрашњим узбуњивањем садржи: кратак опис чињеничног стања о информацији у вези са унутрашњим узбуњивањем; време, место и начин достављања информације у вези са унутрашњим узбуњивањем; број и опис прилога поднетих уз информацију о унутрашњем узбуњивању; податке о томе да ли узбуњивач жели да подаци о његовом идентитету не буду откривени; податке о послодавцу; </w:t>
      </w:r>
      <w:r>
        <w:rPr>
          <w:rFonts w:ascii="Calibri"/>
          <w:b/>
          <w:i w:val="false"/>
          <w:color w:val="000000"/>
          <w:vertAlign w:val="superscript"/>
        </w:rPr>
        <w:t>*</w:t>
      </w:r>
      <w:r>
        <w:rPr>
          <w:rFonts w:ascii="Verdana"/>
          <w:b w:val="false"/>
          <w:i w:val="false"/>
          <w:color w:val="000000"/>
          <w:sz w:val="22"/>
        </w:rPr>
        <w:t> потпис лица овлашћеног за пријем информације и вођење поступка у вези са унутрашњим узбуњивањем.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Потврда о пријему информације у вези са унутрашњим узбуњивањем може садржати потпис узбуњивача и податке о узбуњивачу, уколико он то жели.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44/2018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код послодавца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анонимних обавештења, поступа се у складу са Законом.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циљу провере информације у вези са унутрашњим узбуњивањем, предузимају се одговарајуће радње, о чему се обавештава послодавац, као и узбуњивач, уколико је то могуће на основу расположивих података.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се узимају изјаве од лица, у циљу провере информације у вези са унутрашњим узбуњивањем, о томе се саставља записник.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садржину записника, може се ставити приговор.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 окончању поступка саставља се извештај о предузетим радњама у поступку о информацији у вези са унутрашњим узбуњивањем, предлажу мере ради отклањања уочених неправилности и последица штетне радње насталих у вези са унутрашњим узбуњивањем.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Извештај из става 1. овог члана, доставља се послодавцу и узбуњивачу, о коме се узбуњивач може изјаснити.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1. овог члана.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Овај правилник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Број 110-00-40/2015-05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3. јуна 2015.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Министар,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Никола Селаковић,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